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089" w:type="dxa"/>
        <w:jc w:val="center"/>
        <w:tblInd w:w="-520" w:type="dxa"/>
        <w:tblLayout w:type="fixed"/>
        <w:tblLook w:val="04A0" w:firstRow="1" w:lastRow="0" w:firstColumn="1" w:lastColumn="0" w:noHBand="0" w:noVBand="1"/>
      </w:tblPr>
      <w:tblGrid>
        <w:gridCol w:w="6640"/>
        <w:gridCol w:w="4449"/>
      </w:tblGrid>
      <w:tr w:rsidR="00A7292C" w:rsidRPr="00186B1F" w:rsidTr="0052706C">
        <w:trPr>
          <w:trHeight w:val="836"/>
          <w:jc w:val="center"/>
        </w:trPr>
        <w:tc>
          <w:tcPr>
            <w:tcW w:w="1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92C" w:rsidRPr="00A7292C" w:rsidRDefault="00A7292C" w:rsidP="00600214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A7292C">
              <w:rPr>
                <w:rFonts w:ascii="Georgia" w:hAnsi="Georgia"/>
                <w:b/>
                <w:bCs/>
                <w:sz w:val="28"/>
                <w:szCs w:val="28"/>
              </w:rPr>
              <w:t>Ann</w:t>
            </w:r>
            <w:r>
              <w:rPr>
                <w:rFonts w:ascii="Georgia" w:hAnsi="Georgia"/>
                <w:b/>
                <w:bCs/>
                <w:sz w:val="28"/>
                <w:szCs w:val="28"/>
              </w:rPr>
              <w:t xml:space="preserve">exe </w:t>
            </w:r>
            <w:r w:rsidR="00F8007F">
              <w:rPr>
                <w:rFonts w:ascii="Georgia" w:hAnsi="Georgia"/>
                <w:b/>
                <w:bCs/>
                <w:sz w:val="28"/>
                <w:szCs w:val="28"/>
              </w:rPr>
              <w:t xml:space="preserve">n° </w:t>
            </w:r>
            <w:r>
              <w:rPr>
                <w:rFonts w:ascii="Georgia" w:hAnsi="Georgia"/>
                <w:b/>
                <w:bCs/>
                <w:sz w:val="28"/>
                <w:szCs w:val="28"/>
              </w:rPr>
              <w:t>1 au règlement intérieur de la Commission de Discipline</w:t>
            </w:r>
          </w:p>
        </w:tc>
      </w:tr>
      <w:tr w:rsidR="00826F38" w:rsidRPr="00186B1F" w:rsidTr="0052706C">
        <w:trPr>
          <w:trHeight w:val="836"/>
          <w:jc w:val="center"/>
        </w:trPr>
        <w:tc>
          <w:tcPr>
            <w:tcW w:w="11089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0070C0"/>
            <w:vAlign w:val="center"/>
          </w:tcPr>
          <w:p w:rsidR="00826F38" w:rsidRPr="00A7292C" w:rsidRDefault="00826F38" w:rsidP="00600214">
            <w:pPr>
              <w:jc w:val="center"/>
              <w:rPr>
                <w:rFonts w:ascii="Georgia" w:hAnsi="Georgia"/>
                <w:b/>
                <w:bCs/>
                <w:color w:val="FFFFFF" w:themeColor="background1"/>
                <w:sz w:val="24"/>
                <w:szCs w:val="24"/>
              </w:rPr>
            </w:pPr>
            <w:r w:rsidRPr="00A7292C">
              <w:rPr>
                <w:rFonts w:ascii="Georgia" w:hAnsi="Georgia"/>
                <w:b/>
                <w:bCs/>
                <w:color w:val="FFFFFF" w:themeColor="background1"/>
                <w:sz w:val="24"/>
                <w:szCs w:val="24"/>
              </w:rPr>
              <w:t>LES ENTREPRISES D’ASSURANCE ET DE REASSURANCE</w:t>
            </w:r>
          </w:p>
        </w:tc>
      </w:tr>
      <w:tr w:rsidR="00160C10" w:rsidRPr="00186B1F" w:rsidTr="0052706C">
        <w:trPr>
          <w:trHeight w:val="836"/>
          <w:jc w:val="center"/>
        </w:trPr>
        <w:tc>
          <w:tcPr>
            <w:tcW w:w="6640" w:type="dxa"/>
            <w:shd w:val="clear" w:color="auto" w:fill="CCCCFF"/>
            <w:vAlign w:val="center"/>
          </w:tcPr>
          <w:p w:rsidR="00160C10" w:rsidRPr="00160C10" w:rsidRDefault="00160C10" w:rsidP="00A7292C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160C10">
              <w:rPr>
                <w:rFonts w:ascii="Georgia" w:hAnsi="Georgia"/>
                <w:b/>
                <w:bCs/>
                <w:sz w:val="24"/>
                <w:szCs w:val="24"/>
              </w:rPr>
              <w:t>SANCTIONS</w:t>
            </w:r>
          </w:p>
        </w:tc>
        <w:tc>
          <w:tcPr>
            <w:tcW w:w="4449" w:type="dxa"/>
            <w:shd w:val="clear" w:color="auto" w:fill="CCCCFF"/>
            <w:vAlign w:val="center"/>
          </w:tcPr>
          <w:p w:rsidR="00160C10" w:rsidRPr="00160C10" w:rsidRDefault="00160C10" w:rsidP="00A7292C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160C10">
              <w:rPr>
                <w:rFonts w:ascii="Georgia" w:hAnsi="Georgia"/>
                <w:b/>
                <w:bCs/>
                <w:sz w:val="24"/>
                <w:szCs w:val="24"/>
              </w:rPr>
              <w:t>BASE JURIDIQUE</w:t>
            </w:r>
          </w:p>
          <w:p w:rsidR="00160C10" w:rsidRPr="009B1E0B" w:rsidRDefault="00160C10" w:rsidP="00A7292C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160C10">
              <w:rPr>
                <w:rFonts w:ascii="Georgia" w:hAnsi="Georgia"/>
                <w:b/>
                <w:bCs/>
                <w:sz w:val="24"/>
                <w:szCs w:val="24"/>
              </w:rPr>
              <w:t>Loi 17-99 portant code des assurances</w:t>
            </w:r>
          </w:p>
        </w:tc>
      </w:tr>
      <w:tr w:rsidR="00F34126" w:rsidRPr="00186B1F" w:rsidTr="0052706C">
        <w:trPr>
          <w:trHeight w:val="575"/>
          <w:jc w:val="center"/>
        </w:trPr>
        <w:tc>
          <w:tcPr>
            <w:tcW w:w="6640" w:type="dxa"/>
            <w:vMerge w:val="restart"/>
            <w:vAlign w:val="center"/>
          </w:tcPr>
          <w:p w:rsidR="00F34126" w:rsidRPr="00EE39E6" w:rsidRDefault="00F34126" w:rsidP="00160C10">
            <w:pPr>
              <w:jc w:val="both"/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</w:pPr>
            <w:r w:rsidRPr="00EE39E6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Retrait total ou p</w:t>
            </w:r>
            <w:bookmarkStart w:id="0" w:name="_GoBack"/>
            <w:bookmarkEnd w:id="0"/>
            <w:r w:rsidRPr="00EE39E6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artiel d'agrément</w:t>
            </w:r>
          </w:p>
        </w:tc>
        <w:tc>
          <w:tcPr>
            <w:tcW w:w="4449" w:type="dxa"/>
            <w:vAlign w:val="center"/>
          </w:tcPr>
          <w:p w:rsidR="00F34126" w:rsidRPr="00646824" w:rsidRDefault="00F34126" w:rsidP="00F62944">
            <w:pPr>
              <w:jc w:val="center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4ème alinéas de l’article 128</w:t>
            </w:r>
          </w:p>
        </w:tc>
      </w:tr>
      <w:tr w:rsidR="00F34126" w:rsidRPr="00186B1F" w:rsidTr="0052706C">
        <w:trPr>
          <w:trHeight w:val="414"/>
          <w:jc w:val="center"/>
        </w:trPr>
        <w:tc>
          <w:tcPr>
            <w:tcW w:w="6640" w:type="dxa"/>
            <w:vMerge/>
            <w:vAlign w:val="center"/>
          </w:tcPr>
          <w:p w:rsidR="00F34126" w:rsidRPr="00186B1F" w:rsidRDefault="00F34126" w:rsidP="00160C10">
            <w:pPr>
              <w:jc w:val="both"/>
              <w:rPr>
                <w:rFonts w:ascii="Georgia" w:hAnsi="Georgia"/>
                <w:snapToGrid w:val="0"/>
              </w:rPr>
            </w:pPr>
          </w:p>
        </w:tc>
        <w:tc>
          <w:tcPr>
            <w:tcW w:w="4449" w:type="dxa"/>
            <w:vAlign w:val="center"/>
          </w:tcPr>
          <w:p w:rsidR="00F34126" w:rsidRPr="00646824" w:rsidRDefault="00F34126" w:rsidP="00DA19D1">
            <w:pPr>
              <w:jc w:val="center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Article 258</w:t>
            </w:r>
          </w:p>
        </w:tc>
      </w:tr>
      <w:tr w:rsidR="00F34126" w:rsidRPr="00186B1F" w:rsidTr="0052706C">
        <w:trPr>
          <w:trHeight w:val="584"/>
          <w:jc w:val="center"/>
        </w:trPr>
        <w:tc>
          <w:tcPr>
            <w:tcW w:w="6640" w:type="dxa"/>
            <w:vMerge/>
            <w:vAlign w:val="center"/>
          </w:tcPr>
          <w:p w:rsidR="00F34126" w:rsidRPr="00186B1F" w:rsidRDefault="00F34126" w:rsidP="00160C10">
            <w:pPr>
              <w:jc w:val="both"/>
              <w:rPr>
                <w:rFonts w:ascii="Georgia" w:hAnsi="Georgia"/>
                <w:snapToGrid w:val="0"/>
              </w:rPr>
            </w:pPr>
          </w:p>
        </w:tc>
        <w:tc>
          <w:tcPr>
            <w:tcW w:w="4449" w:type="dxa"/>
          </w:tcPr>
          <w:p w:rsidR="00F34126" w:rsidRPr="00646824" w:rsidRDefault="00F34126" w:rsidP="00F3253D">
            <w:pPr>
              <w:jc w:val="center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</w:p>
          <w:p w:rsidR="00F34126" w:rsidRPr="00646824" w:rsidRDefault="00F34126" w:rsidP="00F34126">
            <w:pPr>
              <w:jc w:val="center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Article 259</w:t>
            </w:r>
          </w:p>
        </w:tc>
      </w:tr>
      <w:tr w:rsidR="00F34126" w:rsidRPr="00186B1F" w:rsidTr="0052706C">
        <w:trPr>
          <w:trHeight w:val="564"/>
          <w:jc w:val="center"/>
        </w:trPr>
        <w:tc>
          <w:tcPr>
            <w:tcW w:w="6640" w:type="dxa"/>
            <w:vMerge/>
            <w:vAlign w:val="center"/>
          </w:tcPr>
          <w:p w:rsidR="00F34126" w:rsidRPr="00186B1F" w:rsidRDefault="00F34126" w:rsidP="00160C10">
            <w:pPr>
              <w:jc w:val="both"/>
              <w:rPr>
                <w:rFonts w:ascii="Georgia" w:hAnsi="Georgia"/>
                <w:snapToGrid w:val="0"/>
              </w:rPr>
            </w:pPr>
          </w:p>
        </w:tc>
        <w:tc>
          <w:tcPr>
            <w:tcW w:w="4449" w:type="dxa"/>
            <w:vAlign w:val="center"/>
          </w:tcPr>
          <w:p w:rsidR="00F34126" w:rsidRPr="00646824" w:rsidRDefault="00F34126" w:rsidP="00F34126">
            <w:pPr>
              <w:jc w:val="center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 xml:space="preserve">Article 265 </w:t>
            </w:r>
          </w:p>
        </w:tc>
      </w:tr>
      <w:tr w:rsidR="00F34126" w:rsidRPr="00186B1F" w:rsidTr="0052706C">
        <w:trPr>
          <w:trHeight w:val="542"/>
          <w:jc w:val="center"/>
        </w:trPr>
        <w:tc>
          <w:tcPr>
            <w:tcW w:w="6640" w:type="dxa"/>
            <w:vMerge/>
            <w:vAlign w:val="center"/>
          </w:tcPr>
          <w:p w:rsidR="00F34126" w:rsidRPr="00EE39E6" w:rsidRDefault="00F34126" w:rsidP="00F34126">
            <w:pPr>
              <w:jc w:val="both"/>
              <w:rPr>
                <w:rFonts w:ascii="Georgia" w:hAnsi="Georgia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4449" w:type="dxa"/>
            <w:vAlign w:val="center"/>
          </w:tcPr>
          <w:p w:rsidR="00F34126" w:rsidRPr="00646824" w:rsidRDefault="00F34126" w:rsidP="00DA19D1">
            <w:pPr>
              <w:jc w:val="center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Article 279</w:t>
            </w:r>
          </w:p>
        </w:tc>
      </w:tr>
      <w:tr w:rsidR="00160C10" w:rsidRPr="00186B1F" w:rsidTr="0052706C">
        <w:trPr>
          <w:trHeight w:val="692"/>
          <w:jc w:val="center"/>
        </w:trPr>
        <w:tc>
          <w:tcPr>
            <w:tcW w:w="6640" w:type="dxa"/>
            <w:vAlign w:val="center"/>
          </w:tcPr>
          <w:p w:rsidR="00160C10" w:rsidRPr="00646824" w:rsidRDefault="00160C10" w:rsidP="00160C10">
            <w:pPr>
              <w:widowControl w:val="0"/>
              <w:ind w:right="113"/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 xml:space="preserve">Nomination d’un administrateur provisoire </w:t>
            </w:r>
          </w:p>
        </w:tc>
        <w:tc>
          <w:tcPr>
            <w:tcW w:w="4449" w:type="dxa"/>
            <w:vAlign w:val="center"/>
          </w:tcPr>
          <w:p w:rsidR="00160C10" w:rsidRPr="00646824" w:rsidRDefault="00160C10" w:rsidP="00DA19D1">
            <w:pPr>
              <w:jc w:val="center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Article 258</w:t>
            </w:r>
          </w:p>
        </w:tc>
      </w:tr>
      <w:tr w:rsidR="00160C10" w:rsidRPr="00186B1F" w:rsidTr="0052706C">
        <w:trPr>
          <w:trHeight w:val="540"/>
          <w:jc w:val="center"/>
        </w:trPr>
        <w:tc>
          <w:tcPr>
            <w:tcW w:w="6640" w:type="dxa"/>
            <w:vMerge w:val="restart"/>
            <w:vAlign w:val="center"/>
          </w:tcPr>
          <w:p w:rsidR="00160C10" w:rsidRPr="00646824" w:rsidRDefault="00160C10" w:rsidP="00160C10">
            <w:pPr>
              <w:widowControl w:val="0"/>
              <w:ind w:right="113"/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Présentation d’un plan de redressement</w:t>
            </w:r>
          </w:p>
        </w:tc>
        <w:tc>
          <w:tcPr>
            <w:tcW w:w="4449" w:type="dxa"/>
            <w:vAlign w:val="center"/>
          </w:tcPr>
          <w:p w:rsidR="00160C10" w:rsidRPr="00646824" w:rsidRDefault="00160C10" w:rsidP="00DA19D1">
            <w:pPr>
              <w:jc w:val="center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2° de l’article 254</w:t>
            </w:r>
          </w:p>
        </w:tc>
      </w:tr>
      <w:tr w:rsidR="00160C10" w:rsidRPr="00186B1F" w:rsidTr="0052706C">
        <w:trPr>
          <w:trHeight w:val="689"/>
          <w:jc w:val="center"/>
        </w:trPr>
        <w:tc>
          <w:tcPr>
            <w:tcW w:w="6640" w:type="dxa"/>
            <w:vMerge/>
            <w:vAlign w:val="center"/>
          </w:tcPr>
          <w:p w:rsidR="00160C10" w:rsidRPr="00646824" w:rsidRDefault="00160C10" w:rsidP="00160C10">
            <w:pPr>
              <w:widowControl w:val="0"/>
              <w:ind w:right="113"/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449" w:type="dxa"/>
            <w:vAlign w:val="center"/>
          </w:tcPr>
          <w:p w:rsidR="00160C10" w:rsidRPr="00646824" w:rsidRDefault="00160C10" w:rsidP="00DA19D1">
            <w:pPr>
              <w:jc w:val="center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3ème alinéas de l’article 253</w:t>
            </w:r>
          </w:p>
        </w:tc>
      </w:tr>
      <w:tr w:rsidR="00160C10" w:rsidRPr="00186B1F" w:rsidTr="0052706C">
        <w:trPr>
          <w:trHeight w:val="701"/>
          <w:jc w:val="center"/>
        </w:trPr>
        <w:tc>
          <w:tcPr>
            <w:tcW w:w="6640" w:type="dxa"/>
            <w:vAlign w:val="center"/>
          </w:tcPr>
          <w:p w:rsidR="00160C10" w:rsidRPr="00646824" w:rsidRDefault="00160C10" w:rsidP="00160C10">
            <w:pPr>
              <w:widowControl w:val="0"/>
              <w:ind w:right="113"/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présentation d'un programme de financement</w:t>
            </w:r>
          </w:p>
        </w:tc>
        <w:tc>
          <w:tcPr>
            <w:tcW w:w="4449" w:type="dxa"/>
            <w:vAlign w:val="center"/>
          </w:tcPr>
          <w:p w:rsidR="00160C10" w:rsidRPr="00646824" w:rsidRDefault="00160C10" w:rsidP="00DA19D1">
            <w:pPr>
              <w:jc w:val="center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1er alinéas de l’article 253</w:t>
            </w:r>
          </w:p>
        </w:tc>
      </w:tr>
      <w:tr w:rsidR="00160C10" w:rsidRPr="00186B1F" w:rsidTr="0052706C">
        <w:trPr>
          <w:trHeight w:val="566"/>
          <w:jc w:val="center"/>
        </w:trPr>
        <w:tc>
          <w:tcPr>
            <w:tcW w:w="6640" w:type="dxa"/>
            <w:vMerge w:val="restart"/>
            <w:vAlign w:val="center"/>
          </w:tcPr>
          <w:p w:rsidR="00160C10" w:rsidRPr="00646824" w:rsidRDefault="00F34126" w:rsidP="00160C10">
            <w:pPr>
              <w:widowControl w:val="0"/>
              <w:ind w:right="113"/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I</w:t>
            </w:r>
            <w:r w:rsidR="00160C10"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nterdiction d'effectuer certaines opérations et toutes autres limitation</w:t>
            </w:r>
            <w:r w:rsidR="00646824"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s dans l'exercice de l'activité</w:t>
            </w:r>
          </w:p>
          <w:p w:rsidR="00160C10" w:rsidRPr="00646824" w:rsidRDefault="00160C10" w:rsidP="00160C10">
            <w:pPr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449" w:type="dxa"/>
            <w:vAlign w:val="center"/>
          </w:tcPr>
          <w:p w:rsidR="00160C10" w:rsidRPr="00646824" w:rsidRDefault="00160C10" w:rsidP="00DA19D1">
            <w:pPr>
              <w:jc w:val="center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Article 128</w:t>
            </w:r>
          </w:p>
        </w:tc>
      </w:tr>
      <w:tr w:rsidR="00160C10" w:rsidRPr="00186B1F" w:rsidTr="0052706C">
        <w:trPr>
          <w:trHeight w:val="652"/>
          <w:jc w:val="center"/>
        </w:trPr>
        <w:tc>
          <w:tcPr>
            <w:tcW w:w="6640" w:type="dxa"/>
            <w:vMerge/>
            <w:vAlign w:val="center"/>
          </w:tcPr>
          <w:p w:rsidR="00160C10" w:rsidRPr="00646824" w:rsidRDefault="00160C10" w:rsidP="00160C10">
            <w:pPr>
              <w:widowControl w:val="0"/>
              <w:ind w:right="113"/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449" w:type="dxa"/>
            <w:vAlign w:val="center"/>
          </w:tcPr>
          <w:p w:rsidR="00160C10" w:rsidRPr="00646824" w:rsidRDefault="00160C10" w:rsidP="00F62944">
            <w:pPr>
              <w:jc w:val="center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1er et 2ème alinéas de l’article 279</w:t>
            </w:r>
          </w:p>
        </w:tc>
      </w:tr>
      <w:tr w:rsidR="00160C10" w:rsidRPr="00186B1F" w:rsidTr="0052706C">
        <w:trPr>
          <w:trHeight w:val="660"/>
          <w:jc w:val="center"/>
        </w:trPr>
        <w:tc>
          <w:tcPr>
            <w:tcW w:w="6640" w:type="dxa"/>
            <w:vMerge w:val="restart"/>
            <w:vAlign w:val="center"/>
          </w:tcPr>
          <w:p w:rsidR="00160C10" w:rsidRPr="00646824" w:rsidRDefault="00160C10" w:rsidP="00160C10">
            <w:pPr>
              <w:widowControl w:val="0"/>
              <w:ind w:right="113"/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Interdiction à l'entreprise de souscrire pendant une période qui ne peut excéder deux (2) ans, de nouveaux contrats dans une ou plusieurs catégories d'opérations pour laquelle ou pour lesquelles elle a été agréée.</w:t>
            </w:r>
          </w:p>
          <w:p w:rsidR="00646824" w:rsidRPr="00646824" w:rsidRDefault="00646824" w:rsidP="00160C10">
            <w:pPr>
              <w:widowControl w:val="0"/>
              <w:ind w:right="113"/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449" w:type="dxa"/>
            <w:vAlign w:val="center"/>
          </w:tcPr>
          <w:p w:rsidR="00160C10" w:rsidRPr="00646824" w:rsidRDefault="00160C10" w:rsidP="00DA19D1">
            <w:pPr>
              <w:jc w:val="center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Le 1° de l’article 254</w:t>
            </w:r>
          </w:p>
        </w:tc>
      </w:tr>
      <w:tr w:rsidR="00160C10" w:rsidRPr="00186B1F" w:rsidTr="0052706C">
        <w:trPr>
          <w:trHeight w:val="496"/>
          <w:jc w:val="center"/>
        </w:trPr>
        <w:tc>
          <w:tcPr>
            <w:tcW w:w="6640" w:type="dxa"/>
            <w:vMerge/>
            <w:vAlign w:val="center"/>
          </w:tcPr>
          <w:p w:rsidR="00160C10" w:rsidRPr="00186B1F" w:rsidRDefault="00160C10" w:rsidP="00160C10">
            <w:pPr>
              <w:widowControl w:val="0"/>
              <w:ind w:right="113"/>
              <w:jc w:val="both"/>
              <w:rPr>
                <w:rFonts w:ascii="Georgia" w:hAnsi="Georgia"/>
                <w:b/>
                <w:bCs/>
                <w:snapToGrid w:val="0"/>
              </w:rPr>
            </w:pPr>
          </w:p>
        </w:tc>
        <w:tc>
          <w:tcPr>
            <w:tcW w:w="4449" w:type="dxa"/>
            <w:vAlign w:val="center"/>
          </w:tcPr>
          <w:p w:rsidR="00160C10" w:rsidRPr="00646824" w:rsidRDefault="00160C10" w:rsidP="00DA19D1">
            <w:pPr>
              <w:jc w:val="center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3ème alinéas de l’article 253</w:t>
            </w:r>
          </w:p>
        </w:tc>
      </w:tr>
      <w:tr w:rsidR="00160C10" w:rsidRPr="00186B1F" w:rsidTr="0052706C">
        <w:trPr>
          <w:trHeight w:val="378"/>
          <w:jc w:val="center"/>
        </w:trPr>
        <w:tc>
          <w:tcPr>
            <w:tcW w:w="6640" w:type="dxa"/>
            <w:vMerge w:val="restart"/>
            <w:vAlign w:val="center"/>
          </w:tcPr>
          <w:p w:rsidR="00160C10" w:rsidRPr="00646824" w:rsidRDefault="00160C10" w:rsidP="00160C10">
            <w:pPr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</w:p>
          <w:p w:rsidR="00160C10" w:rsidRPr="00646824" w:rsidRDefault="00944690" w:rsidP="00160C10">
            <w:pPr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T</w:t>
            </w:r>
            <w:r w:rsidR="00160C10"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ransfert d'office de tout ou partie du portefeuille des contrats en cours et des sinistres de l’entreprise d’assurance;</w:t>
            </w:r>
          </w:p>
        </w:tc>
        <w:tc>
          <w:tcPr>
            <w:tcW w:w="4449" w:type="dxa"/>
            <w:vAlign w:val="center"/>
          </w:tcPr>
          <w:p w:rsidR="00160C10" w:rsidRPr="00646824" w:rsidRDefault="00160C10" w:rsidP="00DA19D1">
            <w:pPr>
              <w:jc w:val="center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Article 128</w:t>
            </w:r>
          </w:p>
        </w:tc>
      </w:tr>
      <w:tr w:rsidR="00160C10" w:rsidRPr="00186B1F" w:rsidTr="0052706C">
        <w:trPr>
          <w:trHeight w:val="524"/>
          <w:jc w:val="center"/>
        </w:trPr>
        <w:tc>
          <w:tcPr>
            <w:tcW w:w="6640" w:type="dxa"/>
            <w:vMerge/>
            <w:vAlign w:val="center"/>
          </w:tcPr>
          <w:p w:rsidR="00160C10" w:rsidRPr="00646824" w:rsidRDefault="00160C10" w:rsidP="00160C10">
            <w:pPr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449" w:type="dxa"/>
            <w:vAlign w:val="center"/>
          </w:tcPr>
          <w:p w:rsidR="00160C10" w:rsidRPr="00646824" w:rsidRDefault="00160C10" w:rsidP="00DA19D1">
            <w:pPr>
              <w:jc w:val="center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1er et 2ème alinéas de l’article 279</w:t>
            </w:r>
          </w:p>
        </w:tc>
      </w:tr>
      <w:tr w:rsidR="00160C10" w:rsidRPr="00186B1F" w:rsidTr="0052706C">
        <w:trPr>
          <w:trHeight w:val="376"/>
          <w:jc w:val="center"/>
        </w:trPr>
        <w:tc>
          <w:tcPr>
            <w:tcW w:w="6640" w:type="dxa"/>
            <w:vMerge/>
            <w:vAlign w:val="center"/>
          </w:tcPr>
          <w:p w:rsidR="00160C10" w:rsidRPr="00646824" w:rsidRDefault="00160C10" w:rsidP="00160C10">
            <w:pPr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449" w:type="dxa"/>
            <w:vAlign w:val="center"/>
          </w:tcPr>
          <w:p w:rsidR="00160C10" w:rsidRPr="00646824" w:rsidRDefault="00160C10" w:rsidP="00160C10">
            <w:pPr>
              <w:jc w:val="center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Article 258</w:t>
            </w:r>
          </w:p>
        </w:tc>
      </w:tr>
      <w:tr w:rsidR="00160C10" w:rsidRPr="00186B1F" w:rsidTr="0052706C">
        <w:trPr>
          <w:trHeight w:val="413"/>
          <w:jc w:val="center"/>
        </w:trPr>
        <w:tc>
          <w:tcPr>
            <w:tcW w:w="6640" w:type="dxa"/>
            <w:vMerge/>
            <w:vAlign w:val="center"/>
          </w:tcPr>
          <w:p w:rsidR="00160C10" w:rsidRPr="00646824" w:rsidRDefault="00160C10" w:rsidP="00160C10">
            <w:pPr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449" w:type="dxa"/>
            <w:vAlign w:val="center"/>
          </w:tcPr>
          <w:p w:rsidR="00160C10" w:rsidRPr="00646824" w:rsidRDefault="00160C10" w:rsidP="00DA19D1">
            <w:pPr>
              <w:jc w:val="center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Article 259</w:t>
            </w:r>
          </w:p>
        </w:tc>
      </w:tr>
      <w:tr w:rsidR="00160C10" w:rsidRPr="00186B1F" w:rsidTr="0052706C">
        <w:trPr>
          <w:trHeight w:val="531"/>
          <w:jc w:val="center"/>
        </w:trPr>
        <w:tc>
          <w:tcPr>
            <w:tcW w:w="6640" w:type="dxa"/>
            <w:vMerge w:val="restart"/>
            <w:vAlign w:val="center"/>
          </w:tcPr>
          <w:p w:rsidR="00160C10" w:rsidRPr="00646824" w:rsidRDefault="00160C10" w:rsidP="00160C10">
            <w:pPr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 xml:space="preserve">la suspension temporaire d'un ou </w:t>
            </w:r>
            <w:r w:rsidR="0045171E"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 xml:space="preserve">de </w:t>
            </w: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plusi</w:t>
            </w:r>
            <w:r w:rsidR="00646824"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 xml:space="preserve">eurs </w:t>
            </w:r>
            <w:r w:rsidR="00646824"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lastRenderedPageBreak/>
              <w:t>dirigeants de l'entreprise</w:t>
            </w:r>
          </w:p>
        </w:tc>
        <w:tc>
          <w:tcPr>
            <w:tcW w:w="4449" w:type="dxa"/>
            <w:vAlign w:val="center"/>
          </w:tcPr>
          <w:p w:rsidR="00160C10" w:rsidRPr="00646824" w:rsidRDefault="00160C10" w:rsidP="00DA19D1">
            <w:pPr>
              <w:jc w:val="center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lastRenderedPageBreak/>
              <w:t>Article 128</w:t>
            </w:r>
          </w:p>
        </w:tc>
      </w:tr>
      <w:tr w:rsidR="00160C10" w:rsidRPr="00186B1F" w:rsidTr="0052706C">
        <w:trPr>
          <w:trHeight w:val="1081"/>
          <w:jc w:val="center"/>
        </w:trPr>
        <w:tc>
          <w:tcPr>
            <w:tcW w:w="6640" w:type="dxa"/>
            <w:vMerge/>
            <w:vAlign w:val="center"/>
          </w:tcPr>
          <w:p w:rsidR="00160C10" w:rsidRPr="00186B1F" w:rsidRDefault="00160C10" w:rsidP="00160C10">
            <w:pPr>
              <w:widowControl w:val="0"/>
              <w:ind w:right="113"/>
              <w:jc w:val="both"/>
              <w:rPr>
                <w:rFonts w:ascii="Georgia" w:hAnsi="Georgia"/>
                <w:b/>
                <w:bCs/>
                <w:snapToGrid w:val="0"/>
              </w:rPr>
            </w:pPr>
          </w:p>
        </w:tc>
        <w:tc>
          <w:tcPr>
            <w:tcW w:w="4449" w:type="dxa"/>
          </w:tcPr>
          <w:p w:rsidR="00160C10" w:rsidRPr="00646824" w:rsidRDefault="00160C10" w:rsidP="00F3253D">
            <w:pPr>
              <w:jc w:val="center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</w:p>
          <w:p w:rsidR="00160C10" w:rsidRPr="00646824" w:rsidRDefault="00160C10" w:rsidP="00646824">
            <w:pPr>
              <w:jc w:val="center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1er et 2ème alinéas</w:t>
            </w:r>
            <w:r w:rsid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 xml:space="preserve"> de l’a</w:t>
            </w: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rticle 279</w:t>
            </w:r>
          </w:p>
        </w:tc>
      </w:tr>
      <w:tr w:rsidR="0052706C" w:rsidRPr="00186B1F" w:rsidTr="0052706C">
        <w:trPr>
          <w:trHeight w:val="1081"/>
          <w:jc w:val="center"/>
        </w:trPr>
        <w:tc>
          <w:tcPr>
            <w:tcW w:w="6640" w:type="dxa"/>
            <w:vAlign w:val="center"/>
          </w:tcPr>
          <w:p w:rsidR="0052706C" w:rsidRPr="0052706C" w:rsidRDefault="0052706C" w:rsidP="00A82DFE">
            <w:pPr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52706C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lastRenderedPageBreak/>
              <w:t>A</w:t>
            </w:r>
            <w:r w:rsidRPr="0052706C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mende de deux mille cinq cents (2.500) à dix mille (10.000) dirhams pour les entreprises d’assurances</w:t>
            </w:r>
          </w:p>
          <w:p w:rsidR="0052706C" w:rsidRPr="0052706C" w:rsidRDefault="0052706C" w:rsidP="00A82DFE">
            <w:pPr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</w:p>
          <w:p w:rsidR="0052706C" w:rsidRPr="00944690" w:rsidRDefault="0052706C" w:rsidP="00A82DFE">
            <w:pPr>
              <w:jc w:val="both"/>
              <w:rPr>
                <w:rFonts w:ascii="Georgia" w:hAnsi="Georgia"/>
                <w:b/>
                <w:bCs/>
                <w:snapToGrid w:val="0"/>
              </w:rPr>
            </w:pPr>
          </w:p>
        </w:tc>
        <w:tc>
          <w:tcPr>
            <w:tcW w:w="4449" w:type="dxa"/>
            <w:vAlign w:val="center"/>
          </w:tcPr>
          <w:p w:rsidR="0052706C" w:rsidRPr="00944690" w:rsidRDefault="0052706C" w:rsidP="00A82DFE">
            <w:pPr>
              <w:jc w:val="center"/>
              <w:rPr>
                <w:rFonts w:ascii="Georgia" w:hAnsi="Georgia"/>
                <w:b/>
                <w:bCs/>
              </w:rPr>
            </w:pPr>
            <w:r w:rsidRPr="00944690">
              <w:rPr>
                <w:rFonts w:ascii="Georgia" w:hAnsi="Georgia"/>
                <w:b/>
                <w:bCs/>
              </w:rPr>
              <w:t>Article 327</w:t>
            </w:r>
          </w:p>
        </w:tc>
      </w:tr>
      <w:tr w:rsidR="00B6364A" w:rsidRPr="00EE39E6" w:rsidTr="0052706C">
        <w:trPr>
          <w:trHeight w:val="708"/>
          <w:jc w:val="center"/>
        </w:trPr>
        <w:tc>
          <w:tcPr>
            <w:tcW w:w="11089" w:type="dxa"/>
            <w:gridSpan w:val="2"/>
            <w:shd w:val="clear" w:color="auto" w:fill="0070C0"/>
            <w:vAlign w:val="center"/>
          </w:tcPr>
          <w:p w:rsidR="00B6364A" w:rsidRPr="00EC3F6A" w:rsidRDefault="00B6364A" w:rsidP="00EE39E6">
            <w:pPr>
              <w:ind w:right="113"/>
              <w:jc w:val="center"/>
              <w:rPr>
                <w:b/>
                <w:bCs/>
                <w:snapToGrid w:val="0"/>
                <w:color w:val="FFFFFF" w:themeColor="background1"/>
                <w:sz w:val="32"/>
                <w:szCs w:val="32"/>
                <w:lang w:eastAsia="en-US"/>
              </w:rPr>
            </w:pPr>
            <w:r w:rsidRPr="00EC3F6A">
              <w:rPr>
                <w:b/>
                <w:bCs/>
                <w:snapToGrid w:val="0"/>
                <w:color w:val="FFFFFF" w:themeColor="background1"/>
                <w:sz w:val="32"/>
                <w:szCs w:val="32"/>
                <w:lang w:eastAsia="en-US"/>
              </w:rPr>
              <w:t>LES INTERMEDIAIRE D’ASSURANCE</w:t>
            </w:r>
          </w:p>
        </w:tc>
      </w:tr>
      <w:tr w:rsidR="00160C10" w:rsidRPr="009A4D60" w:rsidTr="0052706C">
        <w:trPr>
          <w:trHeight w:val="792"/>
          <w:jc w:val="center"/>
        </w:trPr>
        <w:tc>
          <w:tcPr>
            <w:tcW w:w="6640" w:type="dxa"/>
            <w:shd w:val="clear" w:color="auto" w:fill="CCCCFF"/>
            <w:vAlign w:val="center"/>
          </w:tcPr>
          <w:p w:rsidR="00160C10" w:rsidRPr="009B1E0B" w:rsidRDefault="00160C10" w:rsidP="00944690">
            <w:pPr>
              <w:jc w:val="center"/>
              <w:rPr>
                <w:rFonts w:ascii="Georgia" w:hAnsi="Georgia"/>
                <w:b/>
                <w:bCs/>
              </w:rPr>
            </w:pPr>
            <w:r w:rsidRPr="009B1E0B">
              <w:rPr>
                <w:rFonts w:ascii="Georgia" w:hAnsi="Georgia"/>
                <w:b/>
                <w:bCs/>
              </w:rPr>
              <w:t>SANCTIONS</w:t>
            </w:r>
          </w:p>
        </w:tc>
        <w:tc>
          <w:tcPr>
            <w:tcW w:w="4449" w:type="dxa"/>
            <w:shd w:val="clear" w:color="auto" w:fill="CCCCFF"/>
            <w:vAlign w:val="center"/>
          </w:tcPr>
          <w:p w:rsidR="00160C10" w:rsidRPr="00944690" w:rsidRDefault="00160C10" w:rsidP="00DA19D1">
            <w:pPr>
              <w:jc w:val="center"/>
              <w:rPr>
                <w:rFonts w:ascii="Georgia" w:hAnsi="Georgia"/>
                <w:b/>
                <w:bCs/>
              </w:rPr>
            </w:pPr>
            <w:r w:rsidRPr="00944690">
              <w:rPr>
                <w:rFonts w:ascii="Georgia" w:hAnsi="Georgia"/>
                <w:b/>
                <w:bCs/>
              </w:rPr>
              <w:t>BASE JURIDIQUE</w:t>
            </w:r>
          </w:p>
          <w:p w:rsidR="00160C10" w:rsidRPr="00944690" w:rsidRDefault="00160C10" w:rsidP="00DA19D1">
            <w:pPr>
              <w:jc w:val="center"/>
              <w:rPr>
                <w:rFonts w:ascii="Georgia" w:hAnsi="Georgia"/>
                <w:b/>
                <w:bCs/>
              </w:rPr>
            </w:pPr>
            <w:r w:rsidRPr="00944690">
              <w:rPr>
                <w:rFonts w:ascii="Georgia" w:hAnsi="Georgia"/>
                <w:b/>
                <w:bCs/>
              </w:rPr>
              <w:t>Loi 17-99 portant code des assurances</w:t>
            </w:r>
          </w:p>
        </w:tc>
      </w:tr>
      <w:tr w:rsidR="00160C10" w:rsidRPr="00186B1F" w:rsidTr="0052706C">
        <w:trPr>
          <w:trHeight w:val="730"/>
          <w:jc w:val="center"/>
        </w:trPr>
        <w:tc>
          <w:tcPr>
            <w:tcW w:w="6640" w:type="dxa"/>
            <w:vAlign w:val="center"/>
          </w:tcPr>
          <w:p w:rsidR="00160C10" w:rsidRPr="00646824" w:rsidRDefault="00646824" w:rsidP="00160C10">
            <w:pPr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L</w:t>
            </w:r>
            <w:r w:rsidR="00160C10"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e retrait d’agrément définitif des intermédiaires d’assurances</w:t>
            </w:r>
          </w:p>
        </w:tc>
        <w:tc>
          <w:tcPr>
            <w:tcW w:w="4449" w:type="dxa"/>
            <w:vAlign w:val="center"/>
          </w:tcPr>
          <w:p w:rsidR="00160C10" w:rsidRPr="00646824" w:rsidRDefault="00160C10" w:rsidP="00DA19D1">
            <w:pPr>
              <w:jc w:val="center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4) de l’article 324</w:t>
            </w:r>
          </w:p>
        </w:tc>
      </w:tr>
      <w:tr w:rsidR="00160C10" w:rsidRPr="00186B1F" w:rsidTr="0052706C">
        <w:trPr>
          <w:trHeight w:val="1278"/>
          <w:jc w:val="center"/>
        </w:trPr>
        <w:tc>
          <w:tcPr>
            <w:tcW w:w="6640" w:type="dxa"/>
            <w:shd w:val="clear" w:color="auto" w:fill="auto"/>
            <w:vAlign w:val="center"/>
          </w:tcPr>
          <w:p w:rsidR="00160C10" w:rsidRPr="00646824" w:rsidRDefault="0052706C" w:rsidP="00160C10">
            <w:pPr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R</w:t>
            </w:r>
            <w:r w:rsidR="00160C10"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etrait d’agrément à titre temporaire de l’intermédiaire d’assurance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160C10" w:rsidRPr="00646824" w:rsidRDefault="00160C10" w:rsidP="00DA19D1">
            <w:pPr>
              <w:jc w:val="center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Article 330</w:t>
            </w:r>
          </w:p>
        </w:tc>
      </w:tr>
      <w:tr w:rsidR="0052706C" w:rsidRPr="00186B1F" w:rsidTr="0052706C">
        <w:trPr>
          <w:trHeight w:val="1278"/>
          <w:jc w:val="center"/>
        </w:trPr>
        <w:tc>
          <w:tcPr>
            <w:tcW w:w="6640" w:type="dxa"/>
            <w:shd w:val="clear" w:color="auto" w:fill="auto"/>
            <w:vAlign w:val="center"/>
          </w:tcPr>
          <w:p w:rsidR="0052706C" w:rsidRPr="0052706C" w:rsidRDefault="0052706C" w:rsidP="00A82DFE">
            <w:pPr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52706C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A</w:t>
            </w:r>
            <w:r w:rsidRPr="0052706C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mende de deux mille cinq cents (2.500) à dix mille (10.000) dirhams ou de l'une de ces deux peines seulement pour les intermédiaires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52706C" w:rsidRPr="00E35360" w:rsidRDefault="0052706C" w:rsidP="00A82DFE">
            <w:pPr>
              <w:jc w:val="center"/>
              <w:rPr>
                <w:rFonts w:ascii="Georgia" w:hAnsi="Georgia"/>
                <w:b/>
                <w:bCs/>
              </w:rPr>
            </w:pPr>
            <w:r w:rsidRPr="00E35360">
              <w:rPr>
                <w:rFonts w:ascii="Georgia" w:hAnsi="Georgia"/>
                <w:b/>
                <w:bCs/>
              </w:rPr>
              <w:t>Article 327</w:t>
            </w:r>
          </w:p>
        </w:tc>
      </w:tr>
      <w:tr w:rsidR="0052706C" w:rsidRPr="00186B1F" w:rsidTr="0052706C">
        <w:trPr>
          <w:trHeight w:val="1278"/>
          <w:jc w:val="center"/>
        </w:trPr>
        <w:tc>
          <w:tcPr>
            <w:tcW w:w="6640" w:type="dxa"/>
            <w:shd w:val="clear" w:color="auto" w:fill="auto"/>
            <w:vAlign w:val="center"/>
          </w:tcPr>
          <w:p w:rsidR="0052706C" w:rsidRPr="0052706C" w:rsidRDefault="0052706C" w:rsidP="0052706C">
            <w:pPr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52706C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e</w:t>
            </w:r>
            <w:r w:rsidRPr="0052706C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trait d’agrément à titre temporaire de l’intermédiaire d’assurance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52706C" w:rsidRPr="00E35360" w:rsidRDefault="0052706C" w:rsidP="00A82DFE">
            <w:pPr>
              <w:jc w:val="center"/>
              <w:rPr>
                <w:rFonts w:ascii="Georgia" w:hAnsi="Georgia"/>
                <w:b/>
                <w:bCs/>
              </w:rPr>
            </w:pPr>
            <w:r w:rsidRPr="00E35360">
              <w:rPr>
                <w:rFonts w:ascii="Georgia" w:hAnsi="Georgia"/>
                <w:b/>
                <w:bCs/>
              </w:rPr>
              <w:t>Article 330</w:t>
            </w:r>
          </w:p>
        </w:tc>
      </w:tr>
      <w:tr w:rsidR="00B6364A" w:rsidRPr="00186B1F" w:rsidTr="0052706C">
        <w:trPr>
          <w:trHeight w:val="904"/>
          <w:jc w:val="center"/>
        </w:trPr>
        <w:tc>
          <w:tcPr>
            <w:tcW w:w="11089" w:type="dxa"/>
            <w:gridSpan w:val="2"/>
            <w:shd w:val="clear" w:color="auto" w:fill="0070C0"/>
            <w:vAlign w:val="center"/>
          </w:tcPr>
          <w:p w:rsidR="00B6364A" w:rsidRPr="00B6364A" w:rsidRDefault="00B6364A" w:rsidP="00B6364A">
            <w:pPr>
              <w:jc w:val="center"/>
              <w:rPr>
                <w:b/>
                <w:bCs/>
                <w:snapToGrid w:val="0"/>
                <w:color w:val="FFFFFF" w:themeColor="background1"/>
                <w:sz w:val="32"/>
                <w:szCs w:val="32"/>
                <w:lang w:eastAsia="en-US"/>
              </w:rPr>
            </w:pPr>
            <w:r w:rsidRPr="00B6364A">
              <w:rPr>
                <w:b/>
                <w:bCs/>
                <w:snapToGrid w:val="0"/>
                <w:color w:val="FFFFFF" w:themeColor="background1"/>
                <w:sz w:val="32"/>
                <w:szCs w:val="32"/>
                <w:lang w:eastAsia="en-US"/>
              </w:rPr>
              <w:t>LES ORGANISMES DE RETRAITE</w:t>
            </w:r>
          </w:p>
        </w:tc>
      </w:tr>
      <w:tr w:rsidR="00160C10" w:rsidRPr="00B6364A" w:rsidTr="0052706C">
        <w:trPr>
          <w:trHeight w:val="904"/>
          <w:jc w:val="center"/>
        </w:trPr>
        <w:tc>
          <w:tcPr>
            <w:tcW w:w="6640" w:type="dxa"/>
            <w:shd w:val="clear" w:color="auto" w:fill="CCCCFF"/>
            <w:vAlign w:val="center"/>
          </w:tcPr>
          <w:p w:rsidR="00160C10" w:rsidRPr="00B6364A" w:rsidRDefault="00160C10" w:rsidP="00B6364A">
            <w:pPr>
              <w:jc w:val="center"/>
              <w:rPr>
                <w:rFonts w:ascii="Georgia" w:hAnsi="Georgia"/>
                <w:b/>
                <w:bCs/>
              </w:rPr>
            </w:pPr>
            <w:r w:rsidRPr="00B6364A">
              <w:rPr>
                <w:rFonts w:ascii="Georgia" w:hAnsi="Georgia"/>
                <w:b/>
                <w:bCs/>
              </w:rPr>
              <w:t>SANCTIONS</w:t>
            </w:r>
          </w:p>
        </w:tc>
        <w:tc>
          <w:tcPr>
            <w:tcW w:w="4449" w:type="dxa"/>
            <w:shd w:val="clear" w:color="auto" w:fill="CCCCFF"/>
            <w:vAlign w:val="center"/>
          </w:tcPr>
          <w:p w:rsidR="00160C10" w:rsidRPr="00B6364A" w:rsidRDefault="00160C10" w:rsidP="00B6364A">
            <w:pPr>
              <w:jc w:val="center"/>
              <w:rPr>
                <w:rFonts w:ascii="Georgia" w:hAnsi="Georgia" w:cstheme="minorHAnsi"/>
                <w:b/>
                <w:bCs/>
                <w:sz w:val="24"/>
                <w:szCs w:val="24"/>
                <w:lang w:bidi="ar-MA"/>
              </w:rPr>
            </w:pPr>
            <w:r w:rsidRPr="00B6364A">
              <w:rPr>
                <w:rFonts w:ascii="Georgia" w:hAnsi="Georgia" w:cstheme="minorHAnsi"/>
                <w:b/>
                <w:bCs/>
                <w:sz w:val="24"/>
                <w:szCs w:val="24"/>
                <w:lang w:bidi="ar-MA"/>
              </w:rPr>
              <w:t>BASE JURIDIQUE</w:t>
            </w:r>
          </w:p>
          <w:p w:rsidR="00160C10" w:rsidRPr="00B6364A" w:rsidRDefault="00160C10" w:rsidP="00B636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B6364A">
              <w:rPr>
                <w:rFonts w:ascii="Georgia" w:hAnsi="Georgia" w:cstheme="minorHAnsi"/>
                <w:b/>
                <w:bCs/>
                <w:sz w:val="24"/>
                <w:szCs w:val="24"/>
                <w:lang w:bidi="ar-MA"/>
              </w:rPr>
              <w:t>Loi 64-12 portant création de l’Autorité</w:t>
            </w:r>
          </w:p>
        </w:tc>
      </w:tr>
      <w:tr w:rsidR="00160C10" w:rsidRPr="00186B1F" w:rsidTr="0052706C">
        <w:trPr>
          <w:trHeight w:val="1997"/>
          <w:jc w:val="center"/>
        </w:trPr>
        <w:tc>
          <w:tcPr>
            <w:tcW w:w="6640" w:type="dxa"/>
            <w:vAlign w:val="center"/>
          </w:tcPr>
          <w:p w:rsidR="00160C10" w:rsidRPr="00646824" w:rsidRDefault="0052706C" w:rsidP="00160C10">
            <w:pPr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A</w:t>
            </w:r>
            <w:r w:rsidR="00160C10"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 xml:space="preserve">mende administrative variant de cinq mille (5.000) à cent mille (100.000) dirhams </w:t>
            </w:r>
            <w:r w:rsidR="00944690"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 xml:space="preserve">à  l'encontre des membres de son conseil de surveillance ou de son conseil d’administration, des membres de son directoire ou son directeur général </w:t>
            </w:r>
          </w:p>
        </w:tc>
        <w:tc>
          <w:tcPr>
            <w:tcW w:w="4449" w:type="dxa"/>
            <w:vAlign w:val="center"/>
          </w:tcPr>
          <w:p w:rsidR="00160C10" w:rsidRPr="00646824" w:rsidRDefault="00160C10" w:rsidP="00944690">
            <w:pPr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1er</w:t>
            </w:r>
            <w:r w:rsidR="00B6364A"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 xml:space="preserve"> et 2</w:t>
            </w: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 xml:space="preserve">ème alinéas de l’article 120 </w:t>
            </w:r>
            <w:r w:rsidR="00944690"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et l’article 121</w:t>
            </w:r>
          </w:p>
        </w:tc>
      </w:tr>
      <w:tr w:rsidR="00160C10" w:rsidRPr="00186B1F" w:rsidTr="0052706C">
        <w:trPr>
          <w:trHeight w:val="1260"/>
          <w:jc w:val="center"/>
        </w:trPr>
        <w:tc>
          <w:tcPr>
            <w:tcW w:w="6640" w:type="dxa"/>
            <w:vAlign w:val="center"/>
          </w:tcPr>
          <w:p w:rsidR="00160C10" w:rsidRPr="00646824" w:rsidRDefault="00944690" w:rsidP="00160C10">
            <w:pPr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S</w:t>
            </w:r>
            <w:r w:rsidR="00160C10"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 xml:space="preserve">uspension temporaire </w:t>
            </w: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 xml:space="preserve">à l'encontre des membres de son conseil de surveillance ou de son conseil d’administration, des membres de son directoire ou son directeur général </w:t>
            </w:r>
          </w:p>
        </w:tc>
        <w:tc>
          <w:tcPr>
            <w:tcW w:w="4449" w:type="dxa"/>
          </w:tcPr>
          <w:p w:rsidR="00160C10" w:rsidRPr="00646824" w:rsidRDefault="00160C10" w:rsidP="00160C10">
            <w:pPr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</w:p>
          <w:p w:rsidR="00160C10" w:rsidRPr="00646824" w:rsidRDefault="00160C10" w:rsidP="00160C10">
            <w:pPr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</w:p>
          <w:p w:rsidR="00160C10" w:rsidRPr="00646824" w:rsidRDefault="00160C10" w:rsidP="00160C10">
            <w:pPr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</w:p>
          <w:p w:rsidR="00160C10" w:rsidRPr="00646824" w:rsidRDefault="00160C10" w:rsidP="00160C10">
            <w:pPr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 xml:space="preserve">Article 120 </w:t>
            </w:r>
            <w:r w:rsidR="00944690"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 xml:space="preserve"> et article 121</w:t>
            </w:r>
          </w:p>
        </w:tc>
      </w:tr>
      <w:tr w:rsidR="00160C10" w:rsidRPr="00186B1F" w:rsidTr="0052706C">
        <w:trPr>
          <w:trHeight w:val="994"/>
          <w:jc w:val="center"/>
        </w:trPr>
        <w:tc>
          <w:tcPr>
            <w:tcW w:w="6640" w:type="dxa"/>
            <w:vAlign w:val="center"/>
          </w:tcPr>
          <w:p w:rsidR="00B6364A" w:rsidRPr="00646824" w:rsidRDefault="00B6364A" w:rsidP="00160C10">
            <w:pPr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</w:p>
          <w:p w:rsidR="00160C10" w:rsidRPr="00646824" w:rsidRDefault="00944690" w:rsidP="00160C10">
            <w:pPr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R</w:t>
            </w:r>
            <w:r w:rsidR="00160C10"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évocation des membres de son conseil de surveillance ou de son conseil d’administration, des membres de son directoire ou son directeur général</w:t>
            </w:r>
          </w:p>
          <w:p w:rsidR="00B6364A" w:rsidRPr="00646824" w:rsidRDefault="00B6364A" w:rsidP="00160C10">
            <w:pPr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449" w:type="dxa"/>
            <w:vAlign w:val="center"/>
          </w:tcPr>
          <w:p w:rsidR="00160C10" w:rsidRPr="00646824" w:rsidRDefault="00160C10" w:rsidP="00160C10">
            <w:pPr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 xml:space="preserve">Article </w:t>
            </w:r>
            <w:r w:rsidR="00944690"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 xml:space="preserve">120 et l’article </w:t>
            </w: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 xml:space="preserve">121 </w:t>
            </w:r>
          </w:p>
        </w:tc>
      </w:tr>
      <w:tr w:rsidR="00160C10" w:rsidRPr="00186B1F" w:rsidTr="0052706C">
        <w:trPr>
          <w:trHeight w:val="1450"/>
          <w:jc w:val="center"/>
        </w:trPr>
        <w:tc>
          <w:tcPr>
            <w:tcW w:w="6640" w:type="dxa"/>
            <w:vAlign w:val="center"/>
          </w:tcPr>
          <w:p w:rsidR="00B6364A" w:rsidRPr="00646824" w:rsidRDefault="00160C10" w:rsidP="0052706C">
            <w:pPr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Retrait de l'approbation des statuts à un Organisme de retraite</w:t>
            </w:r>
          </w:p>
          <w:p w:rsidR="00B6364A" w:rsidRPr="00646824" w:rsidRDefault="00B6364A" w:rsidP="00646824">
            <w:pPr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449" w:type="dxa"/>
            <w:vAlign w:val="center"/>
          </w:tcPr>
          <w:p w:rsidR="00B6364A" w:rsidRPr="00646824" w:rsidRDefault="00B6364A" w:rsidP="00646824">
            <w:pPr>
              <w:pStyle w:val="Paragraphedeliste"/>
              <w:ind w:left="175"/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</w:p>
          <w:p w:rsidR="00B6364A" w:rsidRPr="00646824" w:rsidRDefault="00B6364A" w:rsidP="00646824">
            <w:pPr>
              <w:pStyle w:val="Paragraphedeliste"/>
              <w:ind w:left="175"/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</w:p>
          <w:p w:rsidR="00B6364A" w:rsidRPr="0052706C" w:rsidRDefault="00160C10" w:rsidP="0052706C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 xml:space="preserve">et b) de l’article 123 </w:t>
            </w:r>
          </w:p>
          <w:p w:rsidR="00B6364A" w:rsidRPr="00646824" w:rsidRDefault="00B6364A" w:rsidP="00646824">
            <w:pPr>
              <w:pStyle w:val="Paragraphedeliste"/>
              <w:ind w:left="175"/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B6364A" w:rsidRPr="00186B1F" w:rsidTr="0052706C">
        <w:trPr>
          <w:trHeight w:val="1118"/>
          <w:jc w:val="center"/>
        </w:trPr>
        <w:tc>
          <w:tcPr>
            <w:tcW w:w="11089" w:type="dxa"/>
            <w:gridSpan w:val="2"/>
            <w:tcBorders>
              <w:bottom w:val="single" w:sz="4" w:space="0" w:color="000000" w:themeColor="text1"/>
            </w:tcBorders>
            <w:shd w:val="clear" w:color="auto" w:fill="0070C0"/>
            <w:vAlign w:val="center"/>
          </w:tcPr>
          <w:p w:rsidR="00B6364A" w:rsidRPr="00B32CCE" w:rsidRDefault="00826F38" w:rsidP="00B63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asciiTheme="majorBidi" w:eastAsia="Times New Roman" w:hAnsiTheme="majorBidi" w:cs="Arabic Transparent"/>
                <w:b/>
                <w:bCs/>
                <w:color w:val="FFFFFF" w:themeColor="background1"/>
                <w:sz w:val="36"/>
                <w:szCs w:val="36"/>
                <w:lang w:bidi="ar-MA"/>
              </w:rPr>
              <w:t>LES SOCIETES MUTUALISTES</w:t>
            </w:r>
          </w:p>
        </w:tc>
      </w:tr>
      <w:tr w:rsidR="00160C10" w:rsidRPr="00186B1F" w:rsidTr="0052706C">
        <w:trPr>
          <w:trHeight w:val="979"/>
          <w:jc w:val="center"/>
        </w:trPr>
        <w:tc>
          <w:tcPr>
            <w:tcW w:w="6640" w:type="dxa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:rsidR="00160C10" w:rsidRPr="009B1E0B" w:rsidRDefault="00160C10" w:rsidP="00B6364A">
            <w:pPr>
              <w:jc w:val="center"/>
              <w:rPr>
                <w:rFonts w:ascii="Georgia" w:hAnsi="Georgia"/>
                <w:b/>
                <w:bCs/>
              </w:rPr>
            </w:pPr>
            <w:r w:rsidRPr="009B1E0B">
              <w:rPr>
                <w:rFonts w:ascii="Georgia" w:hAnsi="Georgia"/>
                <w:b/>
                <w:bCs/>
              </w:rPr>
              <w:t>SANCTIONS</w:t>
            </w:r>
          </w:p>
        </w:tc>
        <w:tc>
          <w:tcPr>
            <w:tcW w:w="4449" w:type="dxa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:rsidR="00160C10" w:rsidRPr="00BF1E6C" w:rsidRDefault="00160C10" w:rsidP="00B6364A">
            <w:pPr>
              <w:jc w:val="center"/>
              <w:rPr>
                <w:rFonts w:ascii="Georgia" w:hAnsi="Georgia"/>
                <w:b/>
                <w:bCs/>
              </w:rPr>
            </w:pPr>
            <w:r w:rsidRPr="00BF1E6C">
              <w:rPr>
                <w:rFonts w:ascii="Georgia" w:hAnsi="Georgia"/>
                <w:b/>
                <w:bCs/>
              </w:rPr>
              <w:t>BASE JURIDIQUE</w:t>
            </w:r>
          </w:p>
          <w:p w:rsidR="00160C10" w:rsidRPr="00BF1E6C" w:rsidRDefault="00160C10" w:rsidP="00B6364A">
            <w:pPr>
              <w:jc w:val="center"/>
              <w:rPr>
                <w:rFonts w:ascii="Georgia" w:hAnsi="Georgia"/>
                <w:b/>
                <w:bCs/>
              </w:rPr>
            </w:pPr>
            <w:r w:rsidRPr="00BF1E6C">
              <w:rPr>
                <w:rFonts w:ascii="Georgia" w:hAnsi="Georgia"/>
                <w:b/>
                <w:bCs/>
              </w:rPr>
              <w:t>Dahir n° 1-57-187</w:t>
            </w:r>
          </w:p>
        </w:tc>
      </w:tr>
      <w:tr w:rsidR="00160C10" w:rsidRPr="00186B1F" w:rsidTr="0052706C">
        <w:trPr>
          <w:trHeight w:val="837"/>
          <w:jc w:val="center"/>
        </w:trPr>
        <w:tc>
          <w:tcPr>
            <w:tcW w:w="66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60C10" w:rsidRPr="00646824" w:rsidRDefault="00160C10" w:rsidP="00646824">
            <w:pPr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 xml:space="preserve">Dissolution du </w:t>
            </w:r>
            <w:r w:rsidR="00646824"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C</w:t>
            </w: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onseil d’administration et désignation d’administrateurs provisoires</w:t>
            </w:r>
          </w:p>
        </w:tc>
        <w:tc>
          <w:tcPr>
            <w:tcW w:w="444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60C10" w:rsidRPr="00646824" w:rsidRDefault="00160C10" w:rsidP="00160C10">
            <w:pPr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Article 26</w:t>
            </w:r>
          </w:p>
        </w:tc>
      </w:tr>
      <w:tr w:rsidR="00160C10" w:rsidRPr="00186B1F" w:rsidTr="0052706C">
        <w:trPr>
          <w:trHeight w:val="851"/>
          <w:jc w:val="center"/>
        </w:trPr>
        <w:tc>
          <w:tcPr>
            <w:tcW w:w="66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60C10" w:rsidRPr="00646824" w:rsidRDefault="00160C10" w:rsidP="00160C10">
            <w:pPr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Retrait d'approbation aux statuts</w:t>
            </w:r>
          </w:p>
        </w:tc>
        <w:tc>
          <w:tcPr>
            <w:tcW w:w="444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60C10" w:rsidRPr="00646824" w:rsidRDefault="00160C10" w:rsidP="00160C10">
            <w:pPr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 xml:space="preserve">Alinéa premier de </w:t>
            </w:r>
          </w:p>
          <w:p w:rsidR="00160C10" w:rsidRPr="00646824" w:rsidRDefault="00160C10" w:rsidP="00160C10">
            <w:pPr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l’article 27</w:t>
            </w:r>
          </w:p>
        </w:tc>
      </w:tr>
      <w:tr w:rsidR="00160C10" w:rsidRPr="00186B1F" w:rsidTr="0052706C">
        <w:trPr>
          <w:trHeight w:val="1134"/>
          <w:jc w:val="center"/>
        </w:trPr>
        <w:tc>
          <w:tcPr>
            <w:tcW w:w="6640" w:type="dxa"/>
            <w:shd w:val="clear" w:color="auto" w:fill="auto"/>
            <w:vAlign w:val="center"/>
          </w:tcPr>
          <w:p w:rsidR="00160C10" w:rsidRPr="00646824" w:rsidRDefault="00160C10" w:rsidP="00160C10">
            <w:pPr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Amende contre les personnes qui participent à l'administration d'un groupement soumis au Dahir n° 1-57-187 précité sans que ses statuts aient été approuvés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160C10" w:rsidRPr="00646824" w:rsidRDefault="00160C10" w:rsidP="00160C10">
            <w:pPr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Alinéa 2 de l’article 28</w:t>
            </w:r>
          </w:p>
        </w:tc>
      </w:tr>
      <w:tr w:rsidR="00160C10" w:rsidRPr="00186B1F" w:rsidTr="0052706C">
        <w:trPr>
          <w:trHeight w:val="1262"/>
          <w:jc w:val="center"/>
        </w:trPr>
        <w:tc>
          <w:tcPr>
            <w:tcW w:w="6640" w:type="dxa"/>
            <w:shd w:val="clear" w:color="auto" w:fill="auto"/>
            <w:vAlign w:val="center"/>
          </w:tcPr>
          <w:p w:rsidR="00160C10" w:rsidRPr="00646824" w:rsidRDefault="00160C10" w:rsidP="00160C10">
            <w:pPr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Amende contre les présidents,  administrateurs ou directeurs de mutuelles qui se rendent coupables d'infraction de certains articles du Dahir n° 1-57-187 précité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160C10" w:rsidRPr="00646824" w:rsidRDefault="00160C10" w:rsidP="00160C10">
            <w:pPr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Alinéa 3 de l’article 28</w:t>
            </w:r>
          </w:p>
        </w:tc>
      </w:tr>
      <w:tr w:rsidR="00160C10" w:rsidRPr="00186B1F" w:rsidTr="0052706C">
        <w:trPr>
          <w:trHeight w:val="1266"/>
          <w:jc w:val="center"/>
        </w:trPr>
        <w:tc>
          <w:tcPr>
            <w:tcW w:w="6640" w:type="dxa"/>
            <w:shd w:val="clear" w:color="auto" w:fill="auto"/>
            <w:vAlign w:val="center"/>
          </w:tcPr>
          <w:p w:rsidR="00160C10" w:rsidRPr="00646824" w:rsidRDefault="00160C10" w:rsidP="00160C10">
            <w:pPr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Sanction pour infraction à l’interdiction temporaire ou définitive prononcée par le tribunal de participer à l'administration ou à la direction d'une mutuelle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160C10" w:rsidRPr="00646824" w:rsidRDefault="00160C10" w:rsidP="00160C10">
            <w:pPr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Alinéa 4 de l’article 28</w:t>
            </w:r>
          </w:p>
        </w:tc>
      </w:tr>
      <w:tr w:rsidR="00160C10" w:rsidRPr="00186B1F" w:rsidTr="0052706C">
        <w:trPr>
          <w:trHeight w:val="1404"/>
          <w:jc w:val="center"/>
        </w:trPr>
        <w:tc>
          <w:tcPr>
            <w:tcW w:w="6640" w:type="dxa"/>
            <w:shd w:val="clear" w:color="auto" w:fill="auto"/>
            <w:vAlign w:val="center"/>
          </w:tcPr>
          <w:p w:rsidR="00160C10" w:rsidRPr="00646824" w:rsidRDefault="00160C10" w:rsidP="00160C10">
            <w:pPr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Amende contre les prési</w:t>
            </w: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softHyphen/>
              <w:t>dents, les administrateurs ou directeurs pour les infractions aux dispositions du Dahir n° 1-57-187autres que ceux précitées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160C10" w:rsidRPr="00646824" w:rsidRDefault="00160C10" w:rsidP="00160C10">
            <w:pPr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>Dernier alinéa de</w:t>
            </w:r>
          </w:p>
          <w:p w:rsidR="00160C10" w:rsidRPr="00646824" w:rsidRDefault="00160C10" w:rsidP="00160C10">
            <w:pPr>
              <w:jc w:val="both"/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646824">
              <w:rPr>
                <w:rFonts w:ascii="Georgia" w:hAnsi="Georgia"/>
                <w:b/>
                <w:bCs/>
                <w:snapToGrid w:val="0"/>
                <w:color w:val="000000" w:themeColor="text1"/>
                <w:sz w:val="24"/>
                <w:szCs w:val="24"/>
              </w:rPr>
              <w:t xml:space="preserve"> l’article 28</w:t>
            </w:r>
          </w:p>
        </w:tc>
      </w:tr>
    </w:tbl>
    <w:p w:rsidR="000817E3" w:rsidRDefault="000817E3"/>
    <w:sectPr w:rsidR="000817E3" w:rsidSect="00A7292C">
      <w:pgSz w:w="11906" w:h="16838"/>
      <w:pgMar w:top="1418" w:right="680" w:bottom="141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4A25"/>
    <w:multiLevelType w:val="hybridMultilevel"/>
    <w:tmpl w:val="79760E2E"/>
    <w:lvl w:ilvl="0" w:tplc="821A822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A2846B8"/>
    <w:multiLevelType w:val="hybridMultilevel"/>
    <w:tmpl w:val="99167F8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D7CE0"/>
    <w:multiLevelType w:val="hybridMultilevel"/>
    <w:tmpl w:val="D00290F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16604"/>
    <w:multiLevelType w:val="hybridMultilevel"/>
    <w:tmpl w:val="38129C4E"/>
    <w:lvl w:ilvl="0" w:tplc="067C14D2">
      <w:start w:val="2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E728C"/>
    <w:multiLevelType w:val="hybridMultilevel"/>
    <w:tmpl w:val="47EC881A"/>
    <w:lvl w:ilvl="0" w:tplc="BA945A1E">
      <w:start w:val="162"/>
      <w:numFmt w:val="bullet"/>
      <w:lvlText w:val="-"/>
      <w:lvlJc w:val="left"/>
      <w:pPr>
        <w:ind w:left="1060" w:hanging="360"/>
      </w:pPr>
      <w:rPr>
        <w:rFonts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49335B74"/>
    <w:multiLevelType w:val="hybridMultilevel"/>
    <w:tmpl w:val="C8EA382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17EE6"/>
    <w:multiLevelType w:val="singleLevel"/>
    <w:tmpl w:val="14EE40A0"/>
    <w:lvl w:ilvl="0">
      <w:start w:val="1"/>
      <w:numFmt w:val="decimal"/>
      <w:lvlText w:val="%1)"/>
      <w:lvlJc w:val="left"/>
      <w:pPr>
        <w:tabs>
          <w:tab w:val="num" w:pos="604"/>
        </w:tabs>
        <w:ind w:left="604" w:hanging="360"/>
      </w:pPr>
      <w:rPr>
        <w:rFonts w:cs="Times New Roman" w:hint="default"/>
      </w:rPr>
    </w:lvl>
  </w:abstractNum>
  <w:abstractNum w:abstractNumId="7">
    <w:nsid w:val="72347D34"/>
    <w:multiLevelType w:val="hybridMultilevel"/>
    <w:tmpl w:val="20DCE5BA"/>
    <w:lvl w:ilvl="0" w:tplc="EFDA0776">
      <w:start w:val="1"/>
      <w:numFmt w:val="decimal"/>
      <w:lvlText w:val="%1°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>
    <w:nsid w:val="7F3440CD"/>
    <w:multiLevelType w:val="hybridMultilevel"/>
    <w:tmpl w:val="BE6CE94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655B7"/>
    <w:multiLevelType w:val="hybridMultilevel"/>
    <w:tmpl w:val="51E08AF8"/>
    <w:lvl w:ilvl="0" w:tplc="F78681E2">
      <w:start w:val="1"/>
      <w:numFmt w:val="lowerLetter"/>
      <w:lvlText w:val="%1)"/>
      <w:lvlJc w:val="left"/>
      <w:pPr>
        <w:ind w:left="5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55" w:hanging="360"/>
      </w:pPr>
    </w:lvl>
    <w:lvl w:ilvl="2" w:tplc="040C001B" w:tentative="1">
      <w:start w:val="1"/>
      <w:numFmt w:val="lowerRoman"/>
      <w:lvlText w:val="%3."/>
      <w:lvlJc w:val="right"/>
      <w:pPr>
        <w:ind w:left="1975" w:hanging="180"/>
      </w:pPr>
    </w:lvl>
    <w:lvl w:ilvl="3" w:tplc="040C000F" w:tentative="1">
      <w:start w:val="1"/>
      <w:numFmt w:val="decimal"/>
      <w:lvlText w:val="%4."/>
      <w:lvlJc w:val="left"/>
      <w:pPr>
        <w:ind w:left="2695" w:hanging="360"/>
      </w:pPr>
    </w:lvl>
    <w:lvl w:ilvl="4" w:tplc="040C0019" w:tentative="1">
      <w:start w:val="1"/>
      <w:numFmt w:val="lowerLetter"/>
      <w:lvlText w:val="%5."/>
      <w:lvlJc w:val="left"/>
      <w:pPr>
        <w:ind w:left="3415" w:hanging="360"/>
      </w:pPr>
    </w:lvl>
    <w:lvl w:ilvl="5" w:tplc="040C001B" w:tentative="1">
      <w:start w:val="1"/>
      <w:numFmt w:val="lowerRoman"/>
      <w:lvlText w:val="%6."/>
      <w:lvlJc w:val="right"/>
      <w:pPr>
        <w:ind w:left="4135" w:hanging="180"/>
      </w:pPr>
    </w:lvl>
    <w:lvl w:ilvl="6" w:tplc="040C000F" w:tentative="1">
      <w:start w:val="1"/>
      <w:numFmt w:val="decimal"/>
      <w:lvlText w:val="%7."/>
      <w:lvlJc w:val="left"/>
      <w:pPr>
        <w:ind w:left="4855" w:hanging="360"/>
      </w:pPr>
    </w:lvl>
    <w:lvl w:ilvl="7" w:tplc="040C0019" w:tentative="1">
      <w:start w:val="1"/>
      <w:numFmt w:val="lowerLetter"/>
      <w:lvlText w:val="%8."/>
      <w:lvlJc w:val="left"/>
      <w:pPr>
        <w:ind w:left="5575" w:hanging="360"/>
      </w:pPr>
    </w:lvl>
    <w:lvl w:ilvl="8" w:tplc="040C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B8"/>
    <w:rsid w:val="000817E3"/>
    <w:rsid w:val="000F6A8E"/>
    <w:rsid w:val="00157626"/>
    <w:rsid w:val="00160C10"/>
    <w:rsid w:val="00184FFD"/>
    <w:rsid w:val="00186B1F"/>
    <w:rsid w:val="001914BB"/>
    <w:rsid w:val="001F0581"/>
    <w:rsid w:val="00202DE6"/>
    <w:rsid w:val="00205B42"/>
    <w:rsid w:val="002461FE"/>
    <w:rsid w:val="00280A66"/>
    <w:rsid w:val="002B631C"/>
    <w:rsid w:val="00301B21"/>
    <w:rsid w:val="00305D91"/>
    <w:rsid w:val="00390EDE"/>
    <w:rsid w:val="003C7C08"/>
    <w:rsid w:val="003D04A8"/>
    <w:rsid w:val="0045171E"/>
    <w:rsid w:val="0046071C"/>
    <w:rsid w:val="004D51AB"/>
    <w:rsid w:val="005155FB"/>
    <w:rsid w:val="0052706C"/>
    <w:rsid w:val="00561B79"/>
    <w:rsid w:val="005703DC"/>
    <w:rsid w:val="00593B42"/>
    <w:rsid w:val="00600214"/>
    <w:rsid w:val="00630E37"/>
    <w:rsid w:val="00635BFF"/>
    <w:rsid w:val="00646824"/>
    <w:rsid w:val="00672B1B"/>
    <w:rsid w:val="00674A0D"/>
    <w:rsid w:val="006A7015"/>
    <w:rsid w:val="0070162E"/>
    <w:rsid w:val="0072342E"/>
    <w:rsid w:val="0073160C"/>
    <w:rsid w:val="00765108"/>
    <w:rsid w:val="00790359"/>
    <w:rsid w:val="007F1FAE"/>
    <w:rsid w:val="00810695"/>
    <w:rsid w:val="00826F38"/>
    <w:rsid w:val="0083702E"/>
    <w:rsid w:val="008463A8"/>
    <w:rsid w:val="00851F39"/>
    <w:rsid w:val="0086350F"/>
    <w:rsid w:val="008A5DF2"/>
    <w:rsid w:val="008E2473"/>
    <w:rsid w:val="00944690"/>
    <w:rsid w:val="00946197"/>
    <w:rsid w:val="00987201"/>
    <w:rsid w:val="00991427"/>
    <w:rsid w:val="009A2A64"/>
    <w:rsid w:val="009A4D60"/>
    <w:rsid w:val="009B1E0B"/>
    <w:rsid w:val="009B3693"/>
    <w:rsid w:val="009B7004"/>
    <w:rsid w:val="00A7292C"/>
    <w:rsid w:val="00A7747A"/>
    <w:rsid w:val="00A958AE"/>
    <w:rsid w:val="00AA3716"/>
    <w:rsid w:val="00AA7122"/>
    <w:rsid w:val="00AB6E51"/>
    <w:rsid w:val="00AC4C63"/>
    <w:rsid w:val="00AD5FEE"/>
    <w:rsid w:val="00B11A9F"/>
    <w:rsid w:val="00B32CCE"/>
    <w:rsid w:val="00B6364A"/>
    <w:rsid w:val="00B9423D"/>
    <w:rsid w:val="00BF1E6C"/>
    <w:rsid w:val="00C158CD"/>
    <w:rsid w:val="00C27EBE"/>
    <w:rsid w:val="00D02B93"/>
    <w:rsid w:val="00D1504A"/>
    <w:rsid w:val="00D30674"/>
    <w:rsid w:val="00D743B8"/>
    <w:rsid w:val="00E35360"/>
    <w:rsid w:val="00E35D95"/>
    <w:rsid w:val="00E65A04"/>
    <w:rsid w:val="00E67B92"/>
    <w:rsid w:val="00EB3EF9"/>
    <w:rsid w:val="00EC3F6A"/>
    <w:rsid w:val="00EE31A7"/>
    <w:rsid w:val="00EE39E6"/>
    <w:rsid w:val="00F3253D"/>
    <w:rsid w:val="00F34126"/>
    <w:rsid w:val="00F541B4"/>
    <w:rsid w:val="00F62944"/>
    <w:rsid w:val="00F70BF4"/>
    <w:rsid w:val="00F8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851F39"/>
    <w:pPr>
      <w:keepNext/>
      <w:bidi/>
      <w:spacing w:after="0" w:line="240" w:lineRule="auto"/>
      <w:ind w:left="170" w:right="74" w:firstLine="170"/>
      <w:jc w:val="center"/>
      <w:outlineLvl w:val="2"/>
    </w:pPr>
    <w:rPr>
      <w:rFonts w:ascii="Arial" w:eastAsia="Times New Roman" w:hAnsi="Arial" w:cs="Arabic Transparent"/>
      <w:b/>
      <w:bCs/>
      <w:noProof/>
      <w:sz w:val="28"/>
      <w:szCs w:val="20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74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743B8"/>
    <w:pPr>
      <w:ind w:left="720"/>
      <w:contextualSpacing/>
    </w:pPr>
  </w:style>
  <w:style w:type="paragraph" w:customStyle="1" w:styleId="Sansinterligne1">
    <w:name w:val="Sans interligne1"/>
    <w:link w:val="NoSpacingChar"/>
    <w:rsid w:val="00987201"/>
    <w:pPr>
      <w:spacing w:after="0" w:line="240" w:lineRule="auto"/>
    </w:pPr>
    <w:rPr>
      <w:rFonts w:ascii="Calibri" w:eastAsia="Calibri" w:hAnsi="Calibri" w:cs="Arial"/>
    </w:rPr>
  </w:style>
  <w:style w:type="character" w:customStyle="1" w:styleId="NoSpacingChar">
    <w:name w:val="No Spacing Char"/>
    <w:link w:val="Sansinterligne1"/>
    <w:locked/>
    <w:rsid w:val="00987201"/>
    <w:rPr>
      <w:rFonts w:ascii="Calibri" w:eastAsia="Calibri" w:hAnsi="Calibri" w:cs="Arial"/>
    </w:rPr>
  </w:style>
  <w:style w:type="paragraph" w:styleId="NormalWeb">
    <w:name w:val="Normal (Web)"/>
    <w:basedOn w:val="Normal"/>
    <w:rsid w:val="008106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rsid w:val="00851F39"/>
    <w:rPr>
      <w:rFonts w:ascii="Arial" w:eastAsia="Times New Roman" w:hAnsi="Arial" w:cs="Arabic Transparent"/>
      <w:b/>
      <w:bCs/>
      <w:noProof/>
      <w:sz w:val="28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851F39"/>
    <w:pPr>
      <w:keepNext/>
      <w:bidi/>
      <w:spacing w:after="0" w:line="240" w:lineRule="auto"/>
      <w:ind w:left="170" w:right="74" w:firstLine="170"/>
      <w:jc w:val="center"/>
      <w:outlineLvl w:val="2"/>
    </w:pPr>
    <w:rPr>
      <w:rFonts w:ascii="Arial" w:eastAsia="Times New Roman" w:hAnsi="Arial" w:cs="Arabic Transparent"/>
      <w:b/>
      <w:bCs/>
      <w:noProof/>
      <w:sz w:val="28"/>
      <w:szCs w:val="20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74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743B8"/>
    <w:pPr>
      <w:ind w:left="720"/>
      <w:contextualSpacing/>
    </w:pPr>
  </w:style>
  <w:style w:type="paragraph" w:customStyle="1" w:styleId="Sansinterligne1">
    <w:name w:val="Sans interligne1"/>
    <w:link w:val="NoSpacingChar"/>
    <w:rsid w:val="00987201"/>
    <w:pPr>
      <w:spacing w:after="0" w:line="240" w:lineRule="auto"/>
    </w:pPr>
    <w:rPr>
      <w:rFonts w:ascii="Calibri" w:eastAsia="Calibri" w:hAnsi="Calibri" w:cs="Arial"/>
    </w:rPr>
  </w:style>
  <w:style w:type="character" w:customStyle="1" w:styleId="NoSpacingChar">
    <w:name w:val="No Spacing Char"/>
    <w:link w:val="Sansinterligne1"/>
    <w:locked/>
    <w:rsid w:val="00987201"/>
    <w:rPr>
      <w:rFonts w:ascii="Calibri" w:eastAsia="Calibri" w:hAnsi="Calibri" w:cs="Arial"/>
    </w:rPr>
  </w:style>
  <w:style w:type="paragraph" w:styleId="NormalWeb">
    <w:name w:val="Normal (Web)"/>
    <w:basedOn w:val="Normal"/>
    <w:rsid w:val="008106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rsid w:val="00851F39"/>
    <w:rPr>
      <w:rFonts w:ascii="Arial" w:eastAsia="Times New Roman" w:hAnsi="Arial" w:cs="Arabic Transparent"/>
      <w:b/>
      <w:bCs/>
      <w:noProof/>
      <w:sz w:val="28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72F72-8319-457E-9B95-2819A01AB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571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ABDELILAH</dc:creator>
  <cp:lastModifiedBy>mimoun zbayar</cp:lastModifiedBy>
  <cp:revision>6</cp:revision>
  <cp:lastPrinted>2016-09-30T15:56:00Z</cp:lastPrinted>
  <dcterms:created xsi:type="dcterms:W3CDTF">2016-09-30T15:31:00Z</dcterms:created>
  <dcterms:modified xsi:type="dcterms:W3CDTF">2016-09-30T16:34:00Z</dcterms:modified>
</cp:coreProperties>
</file>